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9D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5432B24E">
      <w:pPr>
        <w:widowControl w:val="0"/>
        <w:spacing w:before="9" w:line="560" w:lineRule="exact"/>
        <w:ind w:left="0"/>
        <w:jc w:val="center"/>
        <w:outlineLvl w:val="0"/>
        <w:rPr>
          <w:rFonts w:ascii="方正小标宋_GBK" w:hAnsi="华文中宋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华文中宋" w:eastAsia="方正小标宋_GBK" w:cs="Times New Roman"/>
          <w:kern w:val="0"/>
          <w:sz w:val="44"/>
          <w:szCs w:val="44"/>
          <w:lang w:val="en-US" w:eastAsia="zh-CN" w:bidi="ar-SA"/>
        </w:rPr>
        <w:t>二级学院“五好”关工委达标审核申报表</w:t>
      </w:r>
    </w:p>
    <w:p w14:paraId="4D49DF4F">
      <w:pPr>
        <w:rPr>
          <w:rFonts w:hint="eastAsia" w:ascii="等线" w:hAnsi="等线" w:eastAsia="等线" w:cs="Times New Roman"/>
          <w:sz w:val="21"/>
          <w:szCs w:val="22"/>
        </w:rPr>
      </w:pPr>
    </w:p>
    <w:tbl>
      <w:tblPr>
        <w:tblStyle w:val="2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12"/>
        <w:gridCol w:w="2208"/>
        <w:gridCol w:w="2163"/>
      </w:tblGrid>
      <w:tr w14:paraId="74AF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60" w:type="dxa"/>
            <w:vAlign w:val="center"/>
          </w:tcPr>
          <w:p w14:paraId="2C17694D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</w:rPr>
              <w:t>申报单位</w:t>
            </w:r>
          </w:p>
        </w:tc>
        <w:tc>
          <w:tcPr>
            <w:tcW w:w="6483" w:type="dxa"/>
            <w:gridSpan w:val="3"/>
            <w:vAlign w:val="center"/>
          </w:tcPr>
          <w:p w14:paraId="03E547C6">
            <w:pPr>
              <w:jc w:val="center"/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</w:tr>
      <w:tr w14:paraId="78A3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60" w:type="dxa"/>
            <w:vAlign w:val="center"/>
          </w:tcPr>
          <w:p w14:paraId="7FB324CF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</w:rPr>
              <w:t>主任</w:t>
            </w: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姓名</w:t>
            </w:r>
          </w:p>
        </w:tc>
        <w:tc>
          <w:tcPr>
            <w:tcW w:w="2112" w:type="dxa"/>
            <w:vAlign w:val="center"/>
          </w:tcPr>
          <w:p w14:paraId="2321C6A2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  <w:tc>
          <w:tcPr>
            <w:tcW w:w="2208" w:type="dxa"/>
            <w:vAlign w:val="center"/>
          </w:tcPr>
          <w:p w14:paraId="6C3AE04B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职务</w:t>
            </w:r>
          </w:p>
        </w:tc>
        <w:tc>
          <w:tcPr>
            <w:tcW w:w="2163" w:type="dxa"/>
            <w:vAlign w:val="center"/>
          </w:tcPr>
          <w:p w14:paraId="735FABBE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</w:tr>
      <w:tr w14:paraId="02BC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60" w:type="dxa"/>
            <w:vAlign w:val="center"/>
          </w:tcPr>
          <w:p w14:paraId="24ED9E5B">
            <w:pPr>
              <w:jc w:val="center"/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秘书长姓名</w:t>
            </w:r>
          </w:p>
        </w:tc>
        <w:tc>
          <w:tcPr>
            <w:tcW w:w="2112" w:type="dxa"/>
            <w:vAlign w:val="center"/>
          </w:tcPr>
          <w:p w14:paraId="6B1D82A8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  <w:tc>
          <w:tcPr>
            <w:tcW w:w="2208" w:type="dxa"/>
            <w:vAlign w:val="center"/>
          </w:tcPr>
          <w:p w14:paraId="4910F1F8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联系方式</w:t>
            </w:r>
          </w:p>
        </w:tc>
        <w:tc>
          <w:tcPr>
            <w:tcW w:w="2163" w:type="dxa"/>
            <w:vAlign w:val="center"/>
          </w:tcPr>
          <w:p w14:paraId="4ECAAE1D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</w:tr>
      <w:tr w14:paraId="1B95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2160" w:type="dxa"/>
            <w:vAlign w:val="center"/>
          </w:tcPr>
          <w:p w14:paraId="033C03E1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基本情况</w:t>
            </w:r>
          </w:p>
          <w:p w14:paraId="2AD3410A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21"/>
                <w:szCs w:val="21"/>
              </w:rPr>
              <w:t>（不超</w:t>
            </w:r>
            <w:r>
              <w:rPr>
                <w:rFonts w:hint="eastAsia" w:ascii="仿宋_GB2312" w:hAnsi="等线" w:eastAsia="仿宋_GB2312" w:cs="Times New Roman"/>
                <w:spacing w:val="20"/>
                <w:sz w:val="21"/>
                <w:szCs w:val="21"/>
                <w:lang w:val="en-US" w:eastAsia="zh-CN"/>
              </w:rPr>
              <w:t>过</w:t>
            </w:r>
            <w:r>
              <w:rPr>
                <w:rFonts w:hint="eastAsia" w:ascii="仿宋_GB2312" w:hAnsi="等线" w:eastAsia="仿宋_GB2312" w:cs="Times New Roman"/>
                <w:spacing w:val="20"/>
                <w:sz w:val="21"/>
                <w:szCs w:val="21"/>
              </w:rPr>
              <w:t>2</w:t>
            </w:r>
            <w:r>
              <w:rPr>
                <w:rFonts w:ascii="仿宋_GB2312" w:hAnsi="等线" w:eastAsia="仿宋_GB2312" w:cs="Times New Roman"/>
                <w:spacing w:val="20"/>
                <w:sz w:val="21"/>
                <w:szCs w:val="21"/>
              </w:rPr>
              <w:t>00字）</w:t>
            </w:r>
          </w:p>
        </w:tc>
        <w:tc>
          <w:tcPr>
            <w:tcW w:w="6483" w:type="dxa"/>
            <w:gridSpan w:val="3"/>
            <w:vAlign w:val="center"/>
          </w:tcPr>
          <w:p w14:paraId="60D00C5C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</w:tr>
      <w:tr w14:paraId="2201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  <w:jc w:val="center"/>
        </w:trPr>
        <w:tc>
          <w:tcPr>
            <w:tcW w:w="2160" w:type="dxa"/>
            <w:vAlign w:val="center"/>
          </w:tcPr>
          <w:p w14:paraId="4524F9CF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主要举措</w:t>
            </w:r>
          </w:p>
          <w:p w14:paraId="59F57A15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及成效</w:t>
            </w:r>
          </w:p>
          <w:p w14:paraId="47F32593">
            <w:pPr>
              <w:jc w:val="center"/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spacing w:val="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Times New Roman"/>
                <w:spacing w:val="20"/>
                <w:sz w:val="21"/>
                <w:szCs w:val="21"/>
                <w:lang w:val="en-US" w:eastAsia="zh-CN"/>
              </w:rPr>
              <w:t>可另附页</w:t>
            </w:r>
            <w:r>
              <w:rPr>
                <w:rFonts w:hint="eastAsia" w:ascii="仿宋_GB2312" w:hAnsi="等线" w:eastAsia="仿宋_GB2312" w:cs="Times New Roman"/>
                <w:spacing w:val="2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3" w:type="dxa"/>
            <w:gridSpan w:val="3"/>
            <w:vAlign w:val="center"/>
          </w:tcPr>
          <w:p w14:paraId="0DF3199A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  <w:p w14:paraId="1904FBAF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  <w:p w14:paraId="0663CC84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  <w:p w14:paraId="401E035F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  <w:p w14:paraId="22746BE2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  <w:p w14:paraId="6E240B42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  <w:p w14:paraId="2EF43827">
            <w:pPr>
              <w:jc w:val="left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</w:p>
        </w:tc>
      </w:tr>
      <w:tr w14:paraId="7AB3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2160" w:type="dxa"/>
            <w:vAlign w:val="center"/>
          </w:tcPr>
          <w:p w14:paraId="5468CF06">
            <w:pPr>
              <w:jc w:val="center"/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</w:pP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党</w:t>
            </w:r>
            <w:r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</w:rPr>
              <w:t>总支</w:t>
            </w:r>
            <w:r>
              <w:rPr>
                <w:rFonts w:ascii="仿宋_GB2312" w:hAnsi="等线" w:eastAsia="仿宋_GB2312" w:cs="Times New Roman"/>
                <w:spacing w:val="20"/>
                <w:sz w:val="30"/>
                <w:szCs w:val="30"/>
              </w:rPr>
              <w:t>意见</w:t>
            </w:r>
          </w:p>
        </w:tc>
        <w:tc>
          <w:tcPr>
            <w:tcW w:w="6483" w:type="dxa"/>
            <w:gridSpan w:val="3"/>
            <w:vAlign w:val="center"/>
          </w:tcPr>
          <w:p w14:paraId="65A7C905">
            <w:pPr>
              <w:jc w:val="right"/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  <w:lang w:val="en-US" w:eastAsia="zh-CN"/>
              </w:rPr>
            </w:pPr>
          </w:p>
          <w:p w14:paraId="414FA29E">
            <w:pPr>
              <w:jc w:val="right"/>
              <w:rPr>
                <w:rFonts w:hint="eastAsia" w:ascii="仿宋_GB2312" w:hAnsi="等线" w:eastAsia="仿宋_GB2312" w:cs="Times New Roman"/>
                <w:spacing w:val="20"/>
                <w:sz w:val="30"/>
                <w:szCs w:val="30"/>
                <w:lang w:val="en-US" w:eastAsia="zh-CN"/>
              </w:rPr>
            </w:pPr>
          </w:p>
          <w:p w14:paraId="342F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lang w:val="en-US" w:eastAsia="zh-CN"/>
              </w:rPr>
              <w:t>负责人签字（盖章）：</w:t>
            </w:r>
          </w:p>
          <w:p w14:paraId="4312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ascii="仿宋_GB2312" w:hAnsi="等线" w:eastAsia="仿宋_GB2312" w:cs="Times New Roman"/>
                <w:spacing w:val="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eastAsia="仿宋_GB2312" w:cs="Times New Roman"/>
                <w:spacing w:val="2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6973B2C7">
      <w:pPr>
        <w:rPr>
          <w:rFonts w:ascii="仿宋_GB2312" w:hAnsi="仿宋_GB2312" w:eastAsia="仿宋_GB2312" w:cs="仿宋_GB2312"/>
          <w:spacing w:val="-83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 w14:paraId="115FA551">
      <w:pPr>
        <w:widowControl w:val="0"/>
        <w:spacing w:before="9" w:line="468" w:lineRule="exact"/>
        <w:ind w:left="0"/>
        <w:jc w:val="center"/>
        <w:outlineLvl w:val="0"/>
        <w:rPr>
          <w:rFonts w:ascii="方正小标宋_GBK" w:hAnsi="华文中宋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华文中宋" w:eastAsia="方正小标宋_GBK" w:cs="Times New Roman"/>
          <w:kern w:val="0"/>
          <w:sz w:val="44"/>
          <w:szCs w:val="44"/>
          <w:lang w:val="en-US" w:eastAsia="zh-CN" w:bidi="ar-SA"/>
        </w:rPr>
        <w:t>高等学校二级学院“五好”关工委建设</w:t>
      </w:r>
    </w:p>
    <w:p w14:paraId="1F88F99B">
      <w:pPr>
        <w:widowControl w:val="0"/>
        <w:spacing w:before="9" w:line="468" w:lineRule="exact"/>
        <w:ind w:left="0"/>
        <w:jc w:val="center"/>
        <w:outlineLvl w:val="0"/>
        <w:rPr>
          <w:rFonts w:ascii="方正小标宋_GBK" w:hAnsi="华文中宋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华文中宋" w:eastAsia="方正小标宋_GBK" w:cs="Times New Roman"/>
          <w:kern w:val="0"/>
          <w:sz w:val="44"/>
          <w:szCs w:val="44"/>
          <w:lang w:val="en-US" w:eastAsia="zh-CN" w:bidi="ar-SA"/>
        </w:rPr>
        <w:t>基本要求自测表</w:t>
      </w:r>
    </w:p>
    <w:p w14:paraId="309C5CC9">
      <w:pPr>
        <w:widowControl w:val="0"/>
        <w:spacing w:before="9" w:line="468" w:lineRule="exact"/>
        <w:ind w:left="0"/>
        <w:jc w:val="left"/>
        <w:outlineLvl w:val="0"/>
        <w:rPr>
          <w:rFonts w:ascii="华文中宋" w:hAnsi="华文中宋" w:eastAsia="华文中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 xml:space="preserve">关工委（学院党总支盖章） 申报时间： 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 xml:space="preserve">年 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 xml:space="preserve">月 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日</w:t>
      </w:r>
    </w:p>
    <w:tbl>
      <w:tblPr>
        <w:tblStyle w:val="4"/>
        <w:tblW w:w="96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520"/>
        <w:gridCol w:w="714"/>
        <w:gridCol w:w="992"/>
      </w:tblGrid>
      <w:tr w14:paraId="1E32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3701">
            <w:pPr>
              <w:widowControl w:val="0"/>
              <w:tabs>
                <w:tab w:val="left" w:pos="493"/>
              </w:tabs>
              <w:spacing w:before="2"/>
              <w:ind w:left="182"/>
              <w:jc w:val="center"/>
              <w:rPr>
                <w:rFonts w:ascii="楷体" w:hAnsi="楷体" w:eastAsia="楷体" w:cs="楷体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>项</w:t>
            </w: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ab/>
            </w:r>
            <w:r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  <w:t>目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5BD51">
            <w:pPr>
              <w:widowControl w:val="0"/>
              <w:tabs>
                <w:tab w:val="left" w:pos="600"/>
              </w:tabs>
              <w:spacing w:before="2"/>
              <w:ind w:right="5"/>
              <w:jc w:val="center"/>
              <w:rPr>
                <w:rFonts w:ascii="楷体" w:hAnsi="楷体" w:eastAsia="楷体" w:cs="楷体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>内</w:t>
            </w: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ab/>
            </w: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  <w:t>容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7E18">
            <w:pPr>
              <w:widowControl w:val="0"/>
              <w:spacing w:before="2"/>
              <w:jc w:val="center"/>
              <w:rPr>
                <w:rFonts w:ascii="楷体" w:hAnsi="楷体" w:eastAsia="楷体" w:cs="楷体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  <w:t>分值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A7912">
            <w:pPr>
              <w:widowControl w:val="0"/>
              <w:spacing w:before="2"/>
              <w:jc w:val="center"/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0"/>
                <w:szCs w:val="30"/>
                <w:lang w:val="en-US" w:eastAsia="zh-CN" w:bidi="ar-SA"/>
              </w:rPr>
              <w:t>自评分</w:t>
            </w:r>
          </w:p>
        </w:tc>
      </w:tr>
      <w:tr w14:paraId="10B06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exac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EEAE55">
            <w:pPr>
              <w:widowControl w:val="0"/>
              <w:spacing w:line="440" w:lineRule="exact"/>
              <w:ind w:right="101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pacing w:val="-36"/>
                <w:w w:val="99"/>
                <w:kern w:val="0"/>
                <w:sz w:val="30"/>
                <w:szCs w:val="30"/>
                <w:lang w:val="en-US" w:eastAsia="zh-CN" w:bidi="ar-SA"/>
              </w:rPr>
              <w:t>（一）领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导班子</w:t>
            </w:r>
          </w:p>
          <w:p w14:paraId="56B9D695">
            <w:pPr>
              <w:widowControl w:val="0"/>
              <w:spacing w:line="440" w:lineRule="exact"/>
              <w:ind w:right="101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建设好</w:t>
            </w:r>
          </w:p>
          <w:p w14:paraId="1D897FD8">
            <w:pPr>
              <w:widowControl w:val="0"/>
              <w:spacing w:before="10" w:line="440" w:lineRule="exact"/>
              <w:ind w:left="182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30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）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42F0">
            <w:pPr>
              <w:widowControl w:val="0"/>
              <w:spacing w:line="460" w:lineRule="exact"/>
              <w:ind w:left="102" w:right="108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学院党政领导重视和支持。关工委工作被列入学院党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政年度工作计划和党组织工作考核，每年至少向党政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领导汇报</w:t>
            </w:r>
            <w:r>
              <w:rPr>
                <w:rFonts w:ascii="仿宋_GB2312" w:hAnsi="仿宋_GB2312" w:eastAsia="仿宋_GB2312" w:cs="仿宋_GB2312"/>
                <w:color w:val="000000"/>
                <w:spacing w:val="-7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9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次关工委工作。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3255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9EC58">
            <w:pPr>
              <w:widowControl w:val="0"/>
              <w:spacing w:before="1"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</w:tr>
      <w:tr w14:paraId="105EF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BDEF29">
            <w:pPr>
              <w:spacing w:line="440" w:lineRule="exact"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48C2">
            <w:pPr>
              <w:widowControl w:val="0"/>
              <w:spacing w:before="160" w:line="460" w:lineRule="exact"/>
              <w:ind w:left="102" w:right="103"/>
              <w:jc w:val="both"/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 xml:space="preserve">关工委领导班子健全、结构合理、进出有序，现职党 政领导担任主任，从同级领导岗位上退下来的老同志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或高级职称老同志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担任常务副主任（或双主任），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可跨学院、部门自行选配。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配有专职或兼职秘书长（或办公室主任）负责日常工作。班子成员分工明确、各负其责，退休老同志占一定比例。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1A6E">
            <w:pPr>
              <w:widowControl w:val="0"/>
              <w:spacing w:before="231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CDDBD">
            <w:pPr>
              <w:widowControl w:val="0"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D8BA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178C">
            <w:pPr>
              <w:spacing w:line="440" w:lineRule="exact"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A167">
            <w:pPr>
              <w:widowControl w:val="0"/>
              <w:spacing w:before="109" w:line="460" w:lineRule="exact"/>
              <w:ind w:left="102" w:right="105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设有秘书处（或办公室）等日常办事机构，配备专职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或兼职工作人员，有固定办公场所和必要办公设施，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工作经费有保障。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8962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32BC5">
            <w:pPr>
              <w:widowControl w:val="0"/>
              <w:spacing w:before="1"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</w:tr>
      <w:tr w14:paraId="0BFF9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exac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42C984">
            <w:pPr>
              <w:widowControl w:val="0"/>
              <w:spacing w:before="146" w:line="440" w:lineRule="exact"/>
              <w:ind w:left="182" w:right="179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“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五老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”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作用发 挥好</w:t>
            </w:r>
          </w:p>
          <w:p w14:paraId="25D86910">
            <w:pPr>
              <w:widowControl w:val="0"/>
              <w:spacing w:before="19" w:line="440" w:lineRule="exact"/>
              <w:ind w:left="182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</w:rPr>
              <w:t>20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</w:rPr>
              <w:t>）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9821">
            <w:pPr>
              <w:widowControl w:val="0"/>
              <w:spacing w:before="107" w:line="460" w:lineRule="exact"/>
              <w:ind w:left="102" w:right="103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组织动员更多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五老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参与关心下一代工作，广泛发动</w:t>
            </w:r>
            <w:r>
              <w:rPr>
                <w:rFonts w:ascii="仿宋_GB2312" w:hAnsi="仿宋_GB2312" w:eastAsia="仿宋_GB2312" w:cs="仿宋_GB2312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社会优质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五老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资源参加关心下一代工作，建设好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老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骨干队伍，骨干队伍成员至少</w:t>
            </w:r>
            <w:r>
              <w:rPr>
                <w:rFonts w:ascii="仿宋_GB2312" w:hAnsi="仿宋_GB2312" w:eastAsia="仿宋_GB2312" w:cs="仿宋_GB2312"/>
                <w:color w:val="000000"/>
                <w:spacing w:val="-69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pacing w:val="-7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  <w:t>人。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FC1B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F964B">
            <w:pPr>
              <w:widowControl w:val="0"/>
              <w:spacing w:before="1"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</w:tr>
      <w:tr w14:paraId="6F01C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6072">
            <w:pPr>
              <w:spacing w:line="440" w:lineRule="exact"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EF4B">
            <w:pPr>
              <w:widowControl w:val="0"/>
              <w:spacing w:before="83" w:line="460" w:lineRule="exact"/>
              <w:ind w:left="102" w:right="-3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发挥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五老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  <w:t xml:space="preserve">队伍作用有平台、有载体。本级工作平台、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载体至少</w:t>
            </w:r>
            <w:r>
              <w:rPr>
                <w:rFonts w:ascii="仿宋_GB2312" w:hAnsi="仿宋_GB2312" w:eastAsia="仿宋_GB2312" w:cs="仿宋_GB2312"/>
                <w:color w:val="000000"/>
                <w:spacing w:val="-71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个。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37EC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726A0">
            <w:pPr>
              <w:widowControl w:val="0"/>
              <w:spacing w:before="5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</w:p>
        </w:tc>
      </w:tr>
      <w:tr w14:paraId="0D7E5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01023C">
            <w:pPr>
              <w:widowControl w:val="0"/>
              <w:spacing w:before="96" w:line="440" w:lineRule="exact"/>
              <w:ind w:left="103" w:right="101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pacing w:val="-36"/>
                <w:w w:val="99"/>
                <w:kern w:val="0"/>
                <w:sz w:val="30"/>
                <w:szCs w:val="30"/>
                <w:lang w:val="en-US" w:eastAsia="zh-CN" w:bidi="ar-SA"/>
              </w:rPr>
              <w:t>（三）制</w:t>
            </w:r>
            <w:r>
              <w:rPr>
                <w:rFonts w:ascii="仿宋" w:hAnsi="仿宋" w:eastAsia="仿宋" w:cs="仿宋"/>
                <w:b/>
                <w:bCs/>
                <w:color w:val="000000"/>
                <w:w w:val="99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度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-75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建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-72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设 执行好（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）</w:t>
            </w:r>
          </w:p>
          <w:p w14:paraId="2E8AA918">
            <w:pPr>
              <w:widowControl w:val="0"/>
              <w:spacing w:before="96" w:line="440" w:lineRule="exact"/>
              <w:ind w:left="103" w:right="101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F78D">
            <w:pPr>
              <w:widowControl w:val="0"/>
              <w:spacing w:before="83" w:line="460" w:lineRule="exact"/>
              <w:ind w:left="102" w:right="-31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 xml:space="preserve">建有完善的工作、会议、培训、请示汇报、经费管理、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档案管理等规章制度，定期召开办公会。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52E7">
            <w:pPr>
              <w:widowControl w:val="0"/>
              <w:ind w:right="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DEB3F">
            <w:pPr>
              <w:widowControl w:val="0"/>
              <w:spacing w:before="6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</w:p>
        </w:tc>
      </w:tr>
      <w:tr w14:paraId="0139B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2F1F">
            <w:pPr>
              <w:spacing w:line="440" w:lineRule="exact"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731E">
            <w:pPr>
              <w:widowControl w:val="0"/>
              <w:spacing w:before="57" w:line="460" w:lineRule="exact"/>
              <w:ind w:right="-31"/>
              <w:jc w:val="left"/>
              <w:rPr>
                <w:rFonts w:ascii="仿宋_GB2312" w:hAnsi="仿宋_GB2312" w:eastAsia="仿宋_GB2312" w:cs="仿宋_GB2312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年度有计划、有布置、有检查、有总结，并定期表扬。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591B">
            <w:pPr>
              <w:widowControl w:val="0"/>
              <w:spacing w:before="85"/>
              <w:ind w:right="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5DBCE">
            <w:pPr>
              <w:widowControl w:val="0"/>
              <w:spacing w:before="85"/>
              <w:ind w:right="5"/>
              <w:jc w:val="left"/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</w:pPr>
          </w:p>
        </w:tc>
      </w:tr>
      <w:tr w14:paraId="18824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87EC">
            <w:pPr>
              <w:widowControl w:val="0"/>
              <w:spacing w:before="2"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>项</w:t>
            </w: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ab/>
            </w:r>
            <w:r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  <w:t>目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A8DD">
            <w:pPr>
              <w:widowControl w:val="0"/>
              <w:spacing w:before="133" w:line="460" w:lineRule="exact"/>
              <w:ind w:left="102" w:right="102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>内</w:t>
            </w: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ab/>
            </w:r>
            <w:r>
              <w:rPr>
                <w:rFonts w:ascii="楷体" w:hAnsi="楷体" w:eastAsia="楷体" w:cs="楷体"/>
                <w:b/>
                <w:bCs/>
                <w:w w:val="95"/>
                <w:kern w:val="0"/>
                <w:sz w:val="30"/>
                <w:szCs w:val="30"/>
                <w:lang w:val="en-US" w:eastAsia="en-US" w:bidi="ar-SA"/>
              </w:rPr>
              <w:t xml:space="preserve">    </w:t>
            </w:r>
            <w:r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  <w:t>容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5091">
            <w:pPr>
              <w:widowControl w:val="0"/>
              <w:ind w:right="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30"/>
                <w:szCs w:val="30"/>
                <w:lang w:val="en-US" w:eastAsia="en-US" w:bidi="ar-SA"/>
              </w:rPr>
              <w:t>分值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E70A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0"/>
                <w:szCs w:val="30"/>
                <w:lang w:val="en-US" w:eastAsia="zh-CN" w:bidi="ar-SA"/>
              </w:rPr>
              <w:t>自评分</w:t>
            </w:r>
          </w:p>
        </w:tc>
      </w:tr>
      <w:tr w14:paraId="7BD8F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exact"/>
          <w:jc w:val="center"/>
        </w:trPr>
        <w:tc>
          <w:tcPr>
            <w:tcW w:w="14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045F">
            <w:pPr>
              <w:widowControl w:val="0"/>
              <w:spacing w:before="96" w:line="440" w:lineRule="exact"/>
              <w:ind w:left="103" w:right="101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pacing w:val="-36"/>
                <w:w w:val="99"/>
                <w:kern w:val="0"/>
                <w:sz w:val="30"/>
                <w:szCs w:val="30"/>
                <w:lang w:val="en-US" w:eastAsia="zh-CN" w:bidi="ar-SA"/>
              </w:rPr>
              <w:t>（三）制</w:t>
            </w:r>
            <w:r>
              <w:rPr>
                <w:rFonts w:ascii="仿宋" w:hAnsi="仿宋" w:eastAsia="仿宋" w:cs="仿宋"/>
                <w:b/>
                <w:bCs/>
                <w:color w:val="000000"/>
                <w:w w:val="99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度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-75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建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-72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设 执行好（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）</w:t>
            </w:r>
          </w:p>
          <w:p w14:paraId="3DC4ED8F">
            <w:pPr>
              <w:widowControl w:val="0"/>
              <w:spacing w:before="2" w:line="440" w:lineRule="exact"/>
              <w:ind w:left="182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E56CE">
            <w:pPr>
              <w:widowControl w:val="0"/>
              <w:snapToGrid w:val="0"/>
              <w:spacing w:line="440" w:lineRule="exact"/>
              <w:ind w:left="102" w:right="102"/>
              <w:jc w:val="both"/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对负责日常工作的老同志按照财务规定给予一定的经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费补贴，对从事关工委工作的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五老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骨干在春节、重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阳节等传统节日进行看望慰问，对在关心下一代工作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中作出突出贡献的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五老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按规定给予鼓励和表扬。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AD80">
            <w:pPr>
              <w:widowControl w:val="0"/>
              <w:ind w:right="5"/>
              <w:jc w:val="center"/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05019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782B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exac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C5551A">
            <w:pPr>
              <w:widowControl w:val="0"/>
              <w:spacing w:line="440" w:lineRule="exact"/>
              <w:ind w:left="182" w:right="101" w:hanging="8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pacing w:val="-36"/>
                <w:w w:val="99"/>
                <w:kern w:val="0"/>
                <w:sz w:val="30"/>
                <w:szCs w:val="30"/>
                <w:lang w:val="en-US" w:eastAsia="zh-CN" w:bidi="ar-SA"/>
              </w:rPr>
              <w:t>（四）积</w:t>
            </w:r>
            <w:r>
              <w:rPr>
                <w:rFonts w:ascii="仿宋" w:hAnsi="仿宋" w:eastAsia="仿宋" w:cs="仿宋"/>
                <w:b/>
                <w:bCs/>
                <w:color w:val="000000"/>
                <w:w w:val="99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极探索 创新好</w:t>
            </w:r>
          </w:p>
          <w:p w14:paraId="64ED1594">
            <w:pPr>
              <w:widowControl w:val="0"/>
              <w:spacing w:before="10" w:line="440" w:lineRule="exact"/>
              <w:ind w:left="182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15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）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2D5EA">
            <w:pPr>
              <w:widowControl w:val="0"/>
              <w:snapToGrid w:val="0"/>
              <w:spacing w:line="440" w:lineRule="exact"/>
              <w:ind w:right="105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结合实际探索关工委工作新途径、新方法、新模式，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建设具有本校本院特色的活动品牌和工作平台。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7861">
            <w:pPr>
              <w:widowControl w:val="0"/>
              <w:ind w:right="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7A855">
            <w:pPr>
              <w:widowControl w:val="0"/>
              <w:spacing w:before="5"/>
              <w:jc w:val="center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</w:p>
        </w:tc>
      </w:tr>
      <w:tr w14:paraId="2F83C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BC0D4E">
            <w:pPr>
              <w:spacing w:line="440" w:lineRule="exact"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D0770">
            <w:pPr>
              <w:widowControl w:val="0"/>
              <w:snapToGrid w:val="0"/>
              <w:spacing w:line="440" w:lineRule="exact"/>
              <w:ind w:left="102" w:right="105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定期开展调查研究，了解掌握师生动态，针对高校关心下一代工作中普遍性、倾向性问题以及青年学生、青年教师成长中的新情况、新特点、新问题，加强分析研判，为做好关心下一代工作提供有力支撑，为教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育行政部门和学校提供咨询和参考。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5058">
            <w:pPr>
              <w:widowControl w:val="0"/>
              <w:spacing w:before="231"/>
              <w:ind w:right="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7069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37B8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C33D">
            <w:pPr>
              <w:spacing w:line="440" w:lineRule="exact"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B6CA2">
            <w:pPr>
              <w:widowControl w:val="0"/>
              <w:snapToGrid w:val="0"/>
              <w:spacing w:line="440" w:lineRule="exact"/>
              <w:ind w:left="102" w:right="105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重视数字关工委建设，创新利用校、院网站、微信公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众号、微博等开展关工委工作，积极向校级关工委提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供网络优质关工教育资源、培育网络关工活动。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43AA">
            <w:pPr>
              <w:widowControl w:val="0"/>
              <w:ind w:right="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588CF">
            <w:pPr>
              <w:widowControl w:val="0"/>
              <w:spacing w:before="2"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</w:tr>
      <w:tr w14:paraId="30E6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exac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A605CB">
            <w:pPr>
              <w:widowControl w:val="0"/>
              <w:spacing w:line="440" w:lineRule="exact"/>
              <w:ind w:left="182" w:right="101" w:hanging="8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pacing w:val="-36"/>
                <w:w w:val="99"/>
                <w:kern w:val="0"/>
                <w:sz w:val="30"/>
                <w:szCs w:val="30"/>
                <w:lang w:val="en-US" w:eastAsia="zh-CN" w:bidi="ar-SA"/>
              </w:rPr>
              <w:t>（五）活</w:t>
            </w:r>
            <w:r>
              <w:rPr>
                <w:rFonts w:ascii="仿宋" w:hAnsi="仿宋" w:eastAsia="仿宋" w:cs="仿宋"/>
                <w:b/>
                <w:bCs/>
                <w:color w:val="000000"/>
                <w:w w:val="99"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动经常 效果好</w:t>
            </w:r>
          </w:p>
          <w:p w14:paraId="6A4A162E">
            <w:pPr>
              <w:widowControl w:val="0"/>
              <w:spacing w:before="13" w:line="440" w:lineRule="exact"/>
              <w:ind w:left="182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25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>）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AA478">
            <w:pPr>
              <w:widowControl w:val="0"/>
              <w:snapToGrid w:val="0"/>
              <w:spacing w:line="440" w:lineRule="exact"/>
              <w:ind w:left="102" w:right="-31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以培育和践行社会主义核心价值观为主线，围绕理想信念、思想道德、传统文化、科学素养、法治教育、心理健康、家校社协同育人等方面，开展有益于青年</w:t>
            </w:r>
            <w:r>
              <w:rPr>
                <w:rFonts w:ascii="仿宋_GB2312" w:hAnsi="仿宋_GB2312" w:eastAsia="仿宋_GB2312" w:cs="仿宋_GB2312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学生健康成长和青年教师发展的教育活动。结合实际，</w:t>
            </w:r>
            <w:r>
              <w:rPr>
                <w:rFonts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>每学年至少组织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>项上级关工委部署开展的品牌活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动，每学年至少组织开展</w:t>
            </w:r>
            <w:r>
              <w:rPr>
                <w:rFonts w:ascii="仿宋_GB2312" w:hAnsi="仿宋_GB2312" w:eastAsia="仿宋_GB2312" w:cs="仿宋_GB2312"/>
                <w:color w:val="000000"/>
                <w:spacing w:val="-71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pacing w:val="-7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次本院特色教育活动。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04D8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52F0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AB49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61AABCE">
            <w:pPr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C678F">
            <w:pPr>
              <w:widowControl w:val="0"/>
              <w:snapToGrid w:val="0"/>
              <w:spacing w:line="440" w:lineRule="exact"/>
              <w:ind w:left="102" w:right="105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积极参加上级关工委组织的会议、培训及有关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活</w:t>
            </w:r>
            <w:r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动，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并有效落实。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9B10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2E4DF">
            <w:pPr>
              <w:widowControl w:val="0"/>
              <w:spacing w:before="8"/>
              <w:jc w:val="center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</w:p>
        </w:tc>
      </w:tr>
      <w:tr w14:paraId="73B25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6749C">
            <w:pPr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eastAsia="en-US"/>
              </w:rPr>
              <w:t>合计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5DEFE">
            <w:pPr>
              <w:widowControl w:val="0"/>
              <w:spacing w:before="85" w:line="290" w:lineRule="auto"/>
              <w:ind w:left="100" w:right="105"/>
              <w:jc w:val="left"/>
              <w:rPr>
                <w:rFonts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FFEA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1</w:t>
            </w:r>
            <w:r>
              <w:rPr>
                <w:rFonts w:ascii="Times New Roman" w:hAnsi="等线" w:eastAsia="等线" w:cs="Times New Roman"/>
                <w:color w:val="000000"/>
                <w:kern w:val="0"/>
                <w:sz w:val="32"/>
                <w:szCs w:val="22"/>
                <w:lang w:val="en-US" w:eastAsia="en-US" w:bidi="ar-SA"/>
              </w:rPr>
              <w:t>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6FCBD">
            <w:pPr>
              <w:widowControl w:val="0"/>
              <w:spacing w:before="8"/>
              <w:jc w:val="center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</w:p>
        </w:tc>
      </w:tr>
    </w:tbl>
    <w:p w14:paraId="7DDF50DA">
      <w:pPr>
        <w:snapToGrid w:val="0"/>
        <w:spacing w:line="560" w:lineRule="exact"/>
      </w:pPr>
      <w:r>
        <w:rPr>
          <w:rFonts w:ascii="仿宋_GB2312" w:hAnsi="仿宋_GB2312" w:eastAsia="仿宋_GB2312" w:cs="仿宋_GB2312"/>
          <w:b/>
          <w:color w:val="000000"/>
          <w:spacing w:val="-1"/>
          <w:kern w:val="0"/>
          <w:sz w:val="28"/>
          <w:szCs w:val="28"/>
        </w:rPr>
        <w:t>注：总分值达到 90 分以上为自评合格</w:t>
      </w: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4"/>
        <w:szCs w:val="22"/>
        <w:lang w:val="en-US" w:eastAsia="zh-CN" w:bidi="ar-SA"/>
      </w:rPr>
      <w:id w:val="143779218"/>
      <w:docPartObj>
        <w:docPartGallery w:val="autotext"/>
      </w:docPartObj>
    </w:sdtPr>
    <w:sdtEndP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sdtEndPr>
    <w:sdtContent>
      <w:p w14:paraId="160BF7F1"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zh-CN" w:eastAsia="zh-CN" w:bidi="ar-SA"/>
          </w:rPr>
          <w:t>1</w: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6A4DBC72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B698B"/>
    <w:rsid w:val="146B698B"/>
    <w:rsid w:val="2D8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2025-12-31T06:25:00Z</dcterms:created>
  <dc:creator>邵文莎</dc:creator>
  <cp:lastModifiedBy>邵文莎</cp:lastModifiedBy>
  <dcterms:modified xsi:type="dcterms:W3CDTF">2025-12-31T06:26:26Z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D09DAB0A26144FC68E371CEA62E6FEDE_11</vt:lpwstr>
  </property>
  <property fmtid="{D5CDD505-2E9C-101B-9397-08002B2CF9AE}" pid="4" name="KSOTemplateDocerSaveRecord">
    <vt:lpwstr>eyJoZGlkIjoiZTJlMDBhNGViOWJmZDBhMjU1NTc5NmQ5NzNjODgxNWYiLCJ1c2VySWQiOiIxNjY0MjU2NTU5In0=</vt:lpwstr>
  </property>
</Properties>
</file>